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after="0" w:before="0" w:line="276" w:lineRule="auto"/>
        <w:jc w:val="center"/>
        <w:rPr/>
      </w:pPr>
      <w:r w:rsidDel="00000000" w:rsidR="00000000" w:rsidRPr="00000000">
        <w:rPr>
          <w:b w:val="1"/>
          <w:sz w:val="28"/>
          <w:szCs w:val="28"/>
          <w:rtl w:val="0"/>
        </w:rPr>
        <w:t xml:space="preserve">Annonce pour le feuillet paroissial</w:t>
      </w:r>
      <w:r w:rsidDel="00000000" w:rsidR="00000000" w:rsidRPr="00000000">
        <w:rPr>
          <w:rtl w:val="0"/>
        </w:rPr>
      </w:r>
    </w:p>
    <w:p w:rsidR="00000000" w:rsidDel="00000000" w:rsidP="00000000" w:rsidRDefault="00000000" w:rsidRPr="00000000" w14:paraId="00000002">
      <w:pPr>
        <w:widowControl w:val="0"/>
        <w:spacing w:after="0" w:before="0" w:line="276" w:lineRule="auto"/>
        <w:rPr/>
      </w:pPr>
      <w:r w:rsidDel="00000000" w:rsidR="00000000" w:rsidRPr="00000000">
        <w:rPr>
          <w:rtl w:val="0"/>
        </w:rPr>
      </w:r>
    </w:p>
    <w:p w:rsidR="00000000" w:rsidDel="00000000" w:rsidP="00000000" w:rsidRDefault="00000000" w:rsidRPr="00000000" w14:paraId="00000003">
      <w:pPr>
        <w:widowControl w:val="0"/>
        <w:spacing w:after="0" w:before="0" w:line="276" w:lineRule="auto"/>
        <w:rPr/>
      </w:pPr>
      <w:r w:rsidDel="00000000" w:rsidR="00000000" w:rsidRPr="00000000">
        <w:rPr>
          <w:sz w:val="20"/>
          <w:szCs w:val="20"/>
          <w:rtl w:val="0"/>
        </w:rPr>
        <w:t xml:space="preserve">Souvent, les paroissiens n’ont pas l’occasion de voir tout le travail pastoral qui est fait en “arrière-scène” par le curé et son équipe. Notre principal lieu de rencontre est évidemment la messe dominicale. Néanmoins, il existe d’autres ministères qui font partie de la mission que Dieu nous confie. Aujourd’hui, j’aimerais vous parler d’un ministère pastoral particulièrement important dans notre paroisse, celui de la préparation au mariage. Il s’agit en fait d’un sujet qui nous concerne tous : comme l’a rappelé le pape François dans son exhortation apostolique </w:t>
      </w:r>
      <w:r w:rsidDel="00000000" w:rsidR="00000000" w:rsidRPr="00000000">
        <w:rPr>
          <w:i w:val="1"/>
          <w:sz w:val="20"/>
          <w:szCs w:val="20"/>
          <w:rtl w:val="0"/>
        </w:rPr>
        <w:t xml:space="preserve">La joie de l’amour</w:t>
      </w:r>
      <w:r w:rsidDel="00000000" w:rsidR="00000000" w:rsidRPr="00000000">
        <w:rPr>
          <w:sz w:val="20"/>
          <w:szCs w:val="20"/>
          <w:rtl w:val="0"/>
        </w:rPr>
        <w:t xml:space="preserve">, tous les membres de l’Église sont appelés à soutenir ceux qui se préparent au mariage.</w:t>
      </w:r>
      <w:r w:rsidDel="00000000" w:rsidR="00000000" w:rsidRPr="00000000">
        <w:rPr>
          <w:rtl w:val="0"/>
        </w:rPr>
      </w:r>
    </w:p>
    <w:p w:rsidR="00000000" w:rsidDel="00000000" w:rsidP="00000000" w:rsidRDefault="00000000" w:rsidRPr="00000000" w14:paraId="00000004">
      <w:pPr>
        <w:widowControl w:val="0"/>
        <w:spacing w:after="0" w:before="0" w:line="276" w:lineRule="auto"/>
        <w:rPr>
          <w:sz w:val="20"/>
          <w:szCs w:val="20"/>
        </w:rPr>
      </w:pPr>
      <w:r w:rsidDel="00000000" w:rsidR="00000000" w:rsidRPr="00000000">
        <w:rPr>
          <w:rtl w:val="0"/>
        </w:rPr>
      </w:r>
    </w:p>
    <w:p w:rsidR="00000000" w:rsidDel="00000000" w:rsidP="00000000" w:rsidRDefault="00000000" w:rsidRPr="00000000" w14:paraId="00000005">
      <w:pPr>
        <w:widowControl w:val="0"/>
        <w:spacing w:after="0" w:before="0" w:line="276" w:lineRule="auto"/>
        <w:rPr/>
      </w:pPr>
      <w:r w:rsidDel="00000000" w:rsidR="00000000" w:rsidRPr="00000000">
        <w:rPr>
          <w:sz w:val="20"/>
          <w:szCs w:val="20"/>
          <w:rtl w:val="0"/>
        </w:rPr>
        <w:t xml:space="preserve">Dans notre diocèse, un couple qui désire se marier doit en faire la demande auprès de sa paroisse au moins six mois avant la date de la célébration. Ce délai vise à dégager un temps suffisant afin de préparer adéquatement la célébration du sacrement. Pour ma part, je préfère toujours que les couples m’approche environ un an d’avance. Par expérience, six mois est un minimum et oblige souvent à faire les choses de façon précipitée. Généralement, lors de notre première rencontre, j’explique au couple qu’il est souhaitable de terminer leur préparation au moins deux mois avant la date de la célébration. En effet, plus le moment crucial de la célébration approche, plus le niveau de stress augmente! </w:t>
      </w:r>
      <w:r w:rsidDel="00000000" w:rsidR="00000000" w:rsidRPr="00000000">
        <w:rPr>
          <w:rtl w:val="0"/>
        </w:rPr>
      </w:r>
    </w:p>
    <w:p w:rsidR="00000000" w:rsidDel="00000000" w:rsidP="00000000" w:rsidRDefault="00000000" w:rsidRPr="00000000" w14:paraId="00000006">
      <w:pPr>
        <w:widowControl w:val="0"/>
        <w:spacing w:after="0" w:before="0" w:line="276" w:lineRule="auto"/>
        <w:rPr>
          <w:sz w:val="20"/>
          <w:szCs w:val="20"/>
        </w:rPr>
      </w:pPr>
      <w:r w:rsidDel="00000000" w:rsidR="00000000" w:rsidRPr="00000000">
        <w:rPr>
          <w:rtl w:val="0"/>
        </w:rPr>
      </w:r>
    </w:p>
    <w:p w:rsidR="00000000" w:rsidDel="00000000" w:rsidP="00000000" w:rsidRDefault="00000000" w:rsidRPr="00000000" w14:paraId="00000007">
      <w:pPr>
        <w:widowControl w:val="0"/>
        <w:spacing w:after="0" w:before="0" w:line="276" w:lineRule="auto"/>
        <w:rPr/>
      </w:pPr>
      <w:r w:rsidDel="00000000" w:rsidR="00000000" w:rsidRPr="00000000">
        <w:rPr>
          <w:sz w:val="20"/>
          <w:szCs w:val="20"/>
          <w:rtl w:val="0"/>
        </w:rPr>
        <w:t xml:space="preserve">Depuis les dernières années, j’ai eu l’occasion de préparer une vingtaine de couples pour le mariage. Pour être honnête, il m’a souvent semblé que quelque chose manquait dans la préparation. Leur offrions-nous vraiment la meilleure formation? Leur offrions-nous réellement les meilleures chances de développer leur vocation d’époux chrétiens dans le monde et dans l’Église? Il y a quelques mois, nous avons organisé une journée de formation à propos d’un nouveau programme de préparation au mariage : Témoins de l’Amour. Ce programme nous a enthousiasmé parce qu’il semblait offrir ce qui nous manquait afin d’intégrer les fiancés et les jeunes époux dans la vie paroissiale. En effet, les programmes utilisés jusqu’alors échouaient précisément sur ce point : celui de l’intégration dans la vie de l’Église.</w:t>
      </w:r>
      <w:r w:rsidDel="00000000" w:rsidR="00000000" w:rsidRPr="00000000">
        <w:rPr>
          <w:rtl w:val="0"/>
        </w:rPr>
      </w:r>
    </w:p>
    <w:p w:rsidR="00000000" w:rsidDel="00000000" w:rsidP="00000000" w:rsidRDefault="00000000" w:rsidRPr="00000000" w14:paraId="00000008">
      <w:pPr>
        <w:widowControl w:val="0"/>
        <w:spacing w:after="0" w:before="0" w:line="276" w:lineRule="auto"/>
        <w:rPr>
          <w:sz w:val="20"/>
          <w:szCs w:val="20"/>
        </w:rPr>
      </w:pPr>
      <w:r w:rsidDel="00000000" w:rsidR="00000000" w:rsidRPr="00000000">
        <w:rPr>
          <w:rtl w:val="0"/>
        </w:rPr>
      </w:r>
    </w:p>
    <w:p w:rsidR="00000000" w:rsidDel="00000000" w:rsidP="00000000" w:rsidRDefault="00000000" w:rsidRPr="00000000" w14:paraId="00000009">
      <w:pPr>
        <w:widowControl w:val="0"/>
        <w:spacing w:after="0" w:before="0" w:line="276" w:lineRule="auto"/>
        <w:rPr/>
      </w:pPr>
      <w:r w:rsidDel="00000000" w:rsidR="00000000" w:rsidRPr="00000000">
        <w:rPr>
          <w:sz w:val="20"/>
          <w:szCs w:val="20"/>
          <w:rtl w:val="0"/>
        </w:rPr>
        <w:t xml:space="preserve">La plupart des couples qui nous approchent sont relativement jeunes, éduqués et au début de leur carrière professionnelle. La foi et la fréquentation des sacrement est rarement une priorité dans leur vie. Ils n’ont souvent aucun lien avec la paroisse et ne savent pas comment s’y prendre pour en établir un. C’est sur ce point que Témoins de l’Amour peut nous aider : non seulement en préparant les couples pour la vie conjugale, mais en préparant les couples à la vie dans l’Église, en tant que couples mariés! La principale nouveauté du programme est que nous demandons au couple fiancé de choisir un couple parrain. Ce couple parrain doit fréquenter la paroisse, être marié depuis au moins 5 ans et vivre sa foi de façon active. Les parrains sont alors accueillis et formés concernant leur rôle pendant une rencontre avec le couple fiancé. Nous ne nous attendons pas à ce que les parrains soient des “experts” en théologie, mais tout simplement qu’ils soient un exemple positif et inspirant pour le couple fiancé tout en les aidant à s’intégrer à la vie paroissiale. Les deux couples cheminerons alors ensemble non seulement en faisant des rencontres sur des thèmes liés au mariage, mais aussi en faisant diverses activités, telles que : aller à la messe ensemble au moins deux fois par mois, faire une sortie de couple, intégrer le couple fiancé dans un groupe que fréquente les parrains. Le but est qu’après la célébration, les jeunes époux se sentent suffisamment à l’aise et intégrés dans la communauté paroissiale pour en devenir des membres vivants et actifs! Avec quelques variantes, ce programme s’applique également aux couples mariés civilement et demandant à l’Église de “convalider” leur union. </w:t>
      </w:r>
      <w:r w:rsidDel="00000000" w:rsidR="00000000" w:rsidRPr="00000000">
        <w:rPr>
          <w:rtl w:val="0"/>
        </w:rPr>
      </w:r>
    </w:p>
    <w:p w:rsidR="00000000" w:rsidDel="00000000" w:rsidP="00000000" w:rsidRDefault="00000000" w:rsidRPr="00000000" w14:paraId="0000000A">
      <w:pPr>
        <w:widowControl w:val="0"/>
        <w:spacing w:after="0" w:before="0" w:line="276" w:lineRule="auto"/>
        <w:rPr>
          <w:sz w:val="20"/>
          <w:szCs w:val="20"/>
        </w:rPr>
      </w:pPr>
      <w:r w:rsidDel="00000000" w:rsidR="00000000" w:rsidRPr="00000000">
        <w:rPr>
          <w:rtl w:val="0"/>
        </w:rPr>
      </w:r>
    </w:p>
    <w:p w:rsidR="00000000" w:rsidDel="00000000" w:rsidP="00000000" w:rsidRDefault="00000000" w:rsidRPr="00000000" w14:paraId="0000000B">
      <w:pPr>
        <w:widowControl w:val="0"/>
        <w:spacing w:after="0" w:before="0" w:line="276" w:lineRule="auto"/>
        <w:rPr/>
      </w:pPr>
      <w:r w:rsidDel="00000000" w:rsidR="00000000" w:rsidRPr="00000000">
        <w:rPr>
          <w:sz w:val="20"/>
          <w:szCs w:val="20"/>
          <w:rtl w:val="0"/>
        </w:rPr>
        <w:t xml:space="preserve">Cela prendra certainement quelques mois afin que nous intégrions pleinement cette nouvelle approche de la préparation au mariage. Néanmoins, nous prions pour qu’en bout de ligne, d’avantage de couples reçoivent ce dont ils ont besoin pour vivre un mariage heureux, fondé sur le Christ et sur une relation vivante avec son Église!</w:t>
      </w:r>
      <w:r w:rsidDel="00000000" w:rsidR="00000000" w:rsidRPr="00000000">
        <w:rPr>
          <w:rtl w:val="0"/>
        </w:rPr>
      </w:r>
    </w:p>
    <w:p w:rsidR="00000000" w:rsidDel="00000000" w:rsidP="00000000" w:rsidRDefault="00000000" w:rsidRPr="00000000" w14:paraId="0000000C">
      <w:pPr>
        <w:widowControl w:val="0"/>
        <w:spacing w:after="0" w:before="0" w:line="276" w:lineRule="auto"/>
        <w:rPr>
          <w:sz w:val="20"/>
          <w:szCs w:val="20"/>
        </w:rPr>
      </w:pPr>
      <w:r w:rsidDel="00000000" w:rsidR="00000000" w:rsidRPr="00000000">
        <w:rPr>
          <w:rtl w:val="0"/>
        </w:rPr>
      </w:r>
    </w:p>
    <w:p w:rsidR="00000000" w:rsidDel="00000000" w:rsidP="00000000" w:rsidRDefault="00000000" w:rsidRPr="00000000" w14:paraId="0000000D">
      <w:pPr>
        <w:widowControl w:val="0"/>
        <w:spacing w:after="0" w:before="0" w:line="276" w:lineRule="auto"/>
        <w:rPr/>
      </w:pPr>
      <w:r w:rsidDel="00000000" w:rsidR="00000000" w:rsidRPr="00000000">
        <w:rPr>
          <w:sz w:val="20"/>
          <w:szCs w:val="20"/>
          <w:rtl w:val="0"/>
        </w:rPr>
        <w:t xml:space="preserve">En Christ, </w:t>
      </w:r>
      <w:r w:rsidDel="00000000" w:rsidR="00000000" w:rsidRPr="00000000">
        <w:rPr>
          <w:rtl w:val="0"/>
        </w:rPr>
      </w:r>
    </w:p>
    <w:p w:rsidR="00000000" w:rsidDel="00000000" w:rsidP="00000000" w:rsidRDefault="00000000" w:rsidRPr="00000000" w14:paraId="0000000E">
      <w:pPr>
        <w:widowControl w:val="0"/>
        <w:spacing w:after="0" w:before="0" w:line="276" w:lineRule="auto"/>
        <w:rPr>
          <w:sz w:val="20"/>
          <w:szCs w:val="20"/>
        </w:rPr>
      </w:pPr>
      <w:r w:rsidDel="00000000" w:rsidR="00000000" w:rsidRPr="00000000">
        <w:rPr>
          <w:rtl w:val="0"/>
        </w:rPr>
      </w:r>
    </w:p>
    <w:sectPr>
      <w:headerReference r:id="rId7" w:type="default"/>
      <w:headerReference r:id="rId8" w:type="first"/>
      <w:footerReference r:id="rId9" w:type="default"/>
      <w:footerReference r:id="rId10" w:type="first"/>
      <w:pgSz w:h="15840" w:w="12240"/>
      <w:pgMar w:bottom="907" w:top="907" w:left="907" w:right="907"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spacing w:after="0" w:before="0" w:lineRule="auto"/>
      <w:jc w:val="center"/>
      <w:rPr>
        <w:b w:val="1"/>
        <w:color w:val="434343"/>
        <w:sz w:val="12"/>
        <w:szCs w:val="12"/>
      </w:rPr>
    </w:pPr>
    <w:r w:rsidDel="00000000" w:rsidR="00000000" w:rsidRPr="00000000">
      <w:rPr/>
      <mc:AlternateContent>
        <mc:Choice Requires="wpg">
          <w:drawing>
            <wp:inline distB="0" distT="0" distL="0" distR="0">
              <wp:extent cx="6649570" cy="54460"/>
              <wp:effectExtent b="0" l="0" r="0" t="0"/>
              <wp:docPr id="5" name=""/>
              <a:graphic>
                <a:graphicData uri="http://schemas.microsoft.com/office/word/2010/wordprocessingShape">
                  <wps:wsp>
                    <wps:cNvSpPr/>
                    <wps:cNvPr id="2" name="Shape 2"/>
                    <wps:spPr>
                      <a:xfrm flipH="1" rot="10800000">
                        <a:off x="2035800" y="3767220"/>
                        <a:ext cx="6620400" cy="25560"/>
                      </a:xfrm>
                      <a:custGeom>
                        <a:rect b="b" l="l" r="r" t="t"/>
                        <a:pathLst>
                          <a:path extrusionOk="0" h="21600" w="21600">
                            <a:moveTo>
                              <a:pt x="0" y="0"/>
                            </a:moveTo>
                            <a:lnTo>
                              <a:pt x="21600" y="21600"/>
                            </a:lnTo>
                          </a:path>
                        </a:pathLst>
                      </a:custGeom>
                      <a:noFill/>
                      <a:ln cap="flat" cmpd="sng" w="28425">
                        <a:solidFill>
                          <a:srgbClr val="FBD20C"/>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6649570" cy="54460"/>
              <wp:effectExtent b="0" l="0" r="0" t="0"/>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649570" cy="544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2">
    <w:pPr>
      <w:spacing w:after="0" w:before="0" w:lineRule="auto"/>
      <w:jc w:val="center"/>
      <w:rPr>
        <w:rFonts w:ascii="Liberation Serif" w:cs="Liberation Serif" w:eastAsia="Liberation Serif" w:hAnsi="Liberation Serif"/>
        <w:b w:val="0"/>
        <w:color w:val="111111"/>
        <w:sz w:val="22"/>
        <w:szCs w:val="22"/>
      </w:rPr>
    </w:pPr>
    <w:r w:rsidDel="00000000" w:rsidR="00000000" w:rsidRPr="00000000">
      <w:rPr>
        <w:rFonts w:ascii="Liberation Serif" w:cs="Liberation Serif" w:eastAsia="Liberation Serif" w:hAnsi="Liberation Serif"/>
        <w:b w:val="0"/>
        <w:color w:val="111111"/>
        <w:sz w:val="22"/>
        <w:szCs w:val="22"/>
        <w:rtl w:val="0"/>
      </w:rPr>
      <w:t xml:space="preserve">theologieducorps.com            581.777.2541              alex@theologieducorps.com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spacing w:after="0" w:before="0" w:lineRule="auto"/>
      <w:jc w:val="center"/>
      <w:rPr>
        <w:b w:val="1"/>
        <w:color w:val="434343"/>
        <w:sz w:val="12"/>
        <w:szCs w:val="12"/>
      </w:rPr>
    </w:pPr>
    <w:r w:rsidDel="00000000" w:rsidR="00000000" w:rsidRPr="00000000">
      <w:rPr/>
      <mc:AlternateContent>
        <mc:Choice Requires="wpg">
          <w:drawing>
            <wp:inline distB="0" distT="0" distL="0" distR="0">
              <wp:extent cx="6649570" cy="54460"/>
              <wp:effectExtent b="0" l="0" r="0" t="0"/>
              <wp:docPr id="6" name=""/>
              <a:graphic>
                <a:graphicData uri="http://schemas.microsoft.com/office/word/2010/wordprocessingShape">
                  <wps:wsp>
                    <wps:cNvSpPr/>
                    <wps:cNvPr id="3" name="Shape 3"/>
                    <wps:spPr>
                      <a:xfrm flipH="1" rot="10800000">
                        <a:off x="2035800" y="3767220"/>
                        <a:ext cx="6620400" cy="25560"/>
                      </a:xfrm>
                      <a:custGeom>
                        <a:rect b="b" l="l" r="r" t="t"/>
                        <a:pathLst>
                          <a:path extrusionOk="0" h="21600" w="21600">
                            <a:moveTo>
                              <a:pt x="0" y="0"/>
                            </a:moveTo>
                            <a:lnTo>
                              <a:pt x="21600" y="21600"/>
                            </a:lnTo>
                          </a:path>
                        </a:pathLst>
                      </a:custGeom>
                      <a:noFill/>
                      <a:ln cap="flat" cmpd="sng" w="28425">
                        <a:solidFill>
                          <a:srgbClr val="FBD20C"/>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0" distR="0">
              <wp:extent cx="6649570" cy="54460"/>
              <wp:effectExtent b="0" l="0" r="0" t="0"/>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649570" cy="544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4">
    <w:pPr>
      <w:spacing w:after="0" w:before="0" w:lineRule="auto"/>
      <w:jc w:val="center"/>
      <w:rPr/>
    </w:pPr>
    <w:r w:rsidDel="00000000" w:rsidR="00000000" w:rsidRPr="00000000">
      <w:rPr>
        <w:b w:val="1"/>
        <w:color w:val="434343"/>
        <w:rtl w:val="0"/>
      </w:rPr>
      <w:t xml:space="preserve">WEB:</w:t>
    </w:r>
    <w:r w:rsidDel="00000000" w:rsidR="00000000" w:rsidRPr="00000000">
      <w:rPr>
        <w:b w:val="1"/>
        <w:rtl w:val="0"/>
      </w:rPr>
      <w:t xml:space="preserve"> </w:t>
    </w:r>
    <w:r w:rsidDel="00000000" w:rsidR="00000000" w:rsidRPr="00000000">
      <w:rPr>
        <w:rtl w:val="0"/>
      </w:rPr>
      <w:t xml:space="preserve">witnesstolove.org             </w:t>
    </w:r>
    <w:r w:rsidDel="00000000" w:rsidR="00000000" w:rsidRPr="00000000">
      <w:rPr>
        <w:b w:val="1"/>
        <w:color w:val="434343"/>
        <w:rtl w:val="0"/>
      </w:rPr>
      <w:t xml:space="preserve">PHONE:</w:t>
    </w:r>
    <w:r w:rsidDel="00000000" w:rsidR="00000000" w:rsidRPr="00000000">
      <w:rPr>
        <w:color w:val="434343"/>
        <w:rtl w:val="0"/>
      </w:rPr>
      <w:t xml:space="preserve"> </w:t>
    </w:r>
    <w:r w:rsidDel="00000000" w:rsidR="00000000" w:rsidRPr="00000000">
      <w:rPr>
        <w:rtl w:val="0"/>
      </w:rPr>
      <w:t xml:space="preserve">337.241.1214            </w:t>
    </w:r>
    <w:r w:rsidDel="00000000" w:rsidR="00000000" w:rsidRPr="00000000">
      <w:rPr>
        <w:color w:val="434343"/>
        <w:rtl w:val="0"/>
      </w:rPr>
      <w:t xml:space="preserve">  </w:t>
    </w:r>
    <w:r w:rsidDel="00000000" w:rsidR="00000000" w:rsidRPr="00000000">
      <w:rPr>
        <w:b w:val="1"/>
        <w:color w:val="434343"/>
        <w:rtl w:val="0"/>
      </w:rPr>
      <w:t xml:space="preserve">EMAIL:</w:t>
    </w:r>
    <w:r w:rsidDel="00000000" w:rsidR="00000000" w:rsidRPr="00000000">
      <w:rPr>
        <w:rtl w:val="0"/>
      </w:rPr>
      <w:t xml:space="preserve"> info@witnesstolove.org         </w:t>
    </w:r>
  </w:p>
  <w:p w:rsidR="00000000" w:rsidDel="00000000" w:rsidP="00000000" w:rsidRDefault="00000000" w:rsidRPr="00000000" w14:paraId="00000015">
    <w:pPr>
      <w:spacing w:after="0" w:before="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spacing w:after="0" w:before="0" w:lineRule="auto"/>
      <w:jc w:val="left"/>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1092200</wp:posOffset>
              </wp:positionV>
              <wp:extent cx="6659295" cy="55295"/>
              <wp:effectExtent b="0" l="0" r="0" t="0"/>
              <wp:wrapTopAndBottom distB="0" distT="0"/>
              <wp:docPr id="7" name=""/>
              <a:graphic>
                <a:graphicData uri="http://schemas.microsoft.com/office/word/2010/wordprocessingShape">
                  <wps:wsp>
                    <wps:cNvSpPr/>
                    <wps:cNvPr id="4" name="Shape 4"/>
                    <wps:spPr>
                      <a:xfrm>
                        <a:off x="2035800" y="3771720"/>
                        <a:ext cx="6620400" cy="16560"/>
                      </a:xfrm>
                      <a:custGeom>
                        <a:rect b="b" l="l" r="r" t="t"/>
                        <a:pathLst>
                          <a:path extrusionOk="0" h="21600" w="21600">
                            <a:moveTo>
                              <a:pt x="0" y="0"/>
                            </a:moveTo>
                            <a:lnTo>
                              <a:pt x="21600" y="21600"/>
                            </a:lnTo>
                          </a:path>
                        </a:pathLst>
                      </a:custGeom>
                      <a:noFill/>
                      <a:ln cap="flat" cmpd="sng" w="38150">
                        <a:solidFill>
                          <a:srgbClr val="FBD20C"/>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1092200</wp:posOffset>
              </wp:positionV>
              <wp:extent cx="6659295" cy="55295"/>
              <wp:effectExtent b="0" l="0" r="0" t="0"/>
              <wp:wrapTopAndBottom distB="0" distT="0"/>
              <wp:docPr id="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659295" cy="55295"/>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2085975</wp:posOffset>
          </wp:positionH>
          <wp:positionV relativeFrom="paragraph">
            <wp:posOffset>292735</wp:posOffset>
          </wp:positionV>
          <wp:extent cx="2428875" cy="777240"/>
          <wp:effectExtent b="0" l="0" r="0" t="0"/>
          <wp:wrapTopAndBottom distB="0" distT="0"/>
          <wp:docPr id="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428875" cy="77724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spacing w:after="0" w:before="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name w:val="Normal"/>
    <w:qFormat w:val="1"/>
    <w:pPr>
      <w:keepNext w:val="0"/>
      <w:keepLines w:val="0"/>
      <w:widowControl w:val="1"/>
      <w:pBdr/>
      <w:shd w:fill="auto" w:val="clear"/>
      <w:bidi w:val="0"/>
      <w:spacing w:after="0" w:before="0" w:line="276" w:lineRule="auto"/>
      <w:ind w:left="0" w:right="0" w:hanging="0"/>
      <w:jc w:val="left"/>
    </w:pPr>
    <w:rPr>
      <w:rFonts w:ascii="Arial" w:cs="Arial" w:eastAsia="Arial" w:hAnsi="Arial"/>
      <w:b w:val="0"/>
      <w:i w:val="0"/>
      <w:caps w:val="0"/>
      <w:smallCaps w:val="0"/>
      <w:strike w:val="0"/>
      <w:dstrike w:val="0"/>
      <w:color w:val="000000"/>
      <w:kern w:val="0"/>
      <w:position w:val="0"/>
      <w:sz w:val="22"/>
      <w:szCs w:val="22"/>
      <w:u w:val="none"/>
      <w:vertAlign w:val="baseline"/>
      <w:lang w:bidi="hi-IN" w:eastAsia="zh-CN" w:val="en"/>
    </w:rPr>
  </w:style>
  <w:style w:type="paragraph" w:styleId="Titre1">
    <w:name w:val="Heading 1"/>
    <w:basedOn w:val="Normal1"/>
    <w:next w:val="Normal1"/>
    <w:qFormat w:val="1"/>
    <w:pPr>
      <w:keepNext w:val="1"/>
      <w:keepLines w:val="1"/>
      <w:spacing w:after="120" w:before="400" w:line="240" w:lineRule="auto"/>
    </w:pPr>
    <w:rPr>
      <w:sz w:val="40"/>
      <w:szCs w:val="40"/>
    </w:rPr>
  </w:style>
  <w:style w:type="paragraph" w:styleId="Titre2">
    <w:name w:val="Heading 2"/>
    <w:basedOn w:val="Normal1"/>
    <w:next w:val="Normal1"/>
    <w:qFormat w:val="1"/>
    <w:pPr>
      <w:keepNext w:val="1"/>
      <w:keepLines w:val="1"/>
      <w:spacing w:after="120" w:before="360" w:line="240" w:lineRule="auto"/>
    </w:pPr>
    <w:rPr>
      <w:b w:val="0"/>
      <w:sz w:val="32"/>
      <w:szCs w:val="32"/>
    </w:rPr>
  </w:style>
  <w:style w:type="paragraph" w:styleId="Titre3">
    <w:name w:val="Heading 3"/>
    <w:basedOn w:val="Normal1"/>
    <w:next w:val="Normal1"/>
    <w:qFormat w:val="1"/>
    <w:pPr>
      <w:keepNext w:val="1"/>
      <w:keepLines w:val="1"/>
      <w:spacing w:after="80" w:before="320" w:line="240" w:lineRule="auto"/>
    </w:pPr>
    <w:rPr>
      <w:b w:val="0"/>
      <w:color w:val="434343"/>
      <w:sz w:val="28"/>
      <w:szCs w:val="28"/>
    </w:rPr>
  </w:style>
  <w:style w:type="paragraph" w:styleId="Titre4">
    <w:name w:val="Heading 4"/>
    <w:basedOn w:val="Normal1"/>
    <w:next w:val="Normal1"/>
    <w:qFormat w:val="1"/>
    <w:pPr>
      <w:keepNext w:val="1"/>
      <w:keepLines w:val="1"/>
      <w:spacing w:after="80" w:before="280" w:line="240" w:lineRule="auto"/>
    </w:pPr>
    <w:rPr>
      <w:color w:val="666666"/>
      <w:sz w:val="24"/>
      <w:szCs w:val="24"/>
    </w:rPr>
  </w:style>
  <w:style w:type="paragraph" w:styleId="Titre5">
    <w:name w:val="Heading 5"/>
    <w:basedOn w:val="Normal1"/>
    <w:next w:val="Normal1"/>
    <w:qFormat w:val="1"/>
    <w:pPr>
      <w:keepNext w:val="1"/>
      <w:keepLines w:val="1"/>
      <w:spacing w:after="80" w:before="240" w:line="240" w:lineRule="auto"/>
    </w:pPr>
    <w:rPr>
      <w:color w:val="666666"/>
      <w:sz w:val="22"/>
      <w:szCs w:val="22"/>
    </w:rPr>
  </w:style>
  <w:style w:type="paragraph" w:styleId="Titre6">
    <w:name w:val="Heading 6"/>
    <w:basedOn w:val="Normal1"/>
    <w:next w:val="Normal1"/>
    <w:qFormat w:val="1"/>
    <w:pPr>
      <w:keepNext w:val="1"/>
      <w:keepLines w:val="1"/>
      <w:spacing w:after="80" w:before="240" w:line="240" w:lineRule="auto"/>
    </w:pPr>
    <w:rPr>
      <w:i w:val="1"/>
      <w:color w:val="666666"/>
      <w:sz w:val="22"/>
      <w:szCs w:val="22"/>
    </w:rPr>
  </w:style>
  <w:style w:type="paragraph" w:styleId="Titre">
    <w:name w:val="Titre"/>
    <w:basedOn w:val="Normal"/>
    <w:next w:val="Corpsdetexte"/>
    <w:qFormat w:val="1"/>
    <w:pPr>
      <w:keepNext w:val="1"/>
      <w:spacing w:after="120" w:before="240"/>
    </w:pPr>
    <w:rPr>
      <w:rFonts w:ascii="Liberation Sans" w:cs="Lohit Devanagari" w:eastAsia="Noto Sans CJK SC" w:hAnsi="Liberation Sans"/>
      <w:sz w:val="28"/>
      <w:szCs w:val="28"/>
    </w:rPr>
  </w:style>
  <w:style w:type="paragraph" w:styleId="Corpsdetexte">
    <w:name w:val="Body Text"/>
    <w:basedOn w:val="Normal"/>
    <w:pPr>
      <w:spacing w:after="140" w:before="0" w:line="276" w:lineRule="auto"/>
    </w:pPr>
    <w:rPr/>
  </w:style>
  <w:style w:type="paragraph" w:styleId="Liste">
    <w:name w:val="List"/>
    <w:basedOn w:val="Corpsdetexte"/>
    <w:pPr/>
    <w:rPr>
      <w:rFonts w:cs="Lohit Devanagari"/>
    </w:rPr>
  </w:style>
  <w:style w:type="paragraph" w:styleId="Lgende">
    <w:name w:val="Caption"/>
    <w:basedOn w:val="Normal"/>
    <w:qFormat w:val="1"/>
    <w:pPr>
      <w:suppressLineNumbers w:val="1"/>
      <w:spacing w:after="120" w:before="120"/>
    </w:pPr>
    <w:rPr>
      <w:rFonts w:cs="Lohit Devanagari"/>
      <w:i w:val="1"/>
      <w:iCs w:val="1"/>
      <w:sz w:val="24"/>
      <w:szCs w:val="24"/>
    </w:rPr>
  </w:style>
  <w:style w:type="paragraph" w:styleId="Index">
    <w:name w:val="Index"/>
    <w:basedOn w:val="Normal"/>
    <w:qFormat w:val="1"/>
    <w:pPr>
      <w:suppressLineNumbers w:val="1"/>
    </w:pPr>
    <w:rPr>
      <w:rFonts w:cs="Lohit Devanagari"/>
    </w:rPr>
  </w:style>
  <w:style w:type="paragraph" w:styleId="Normal1" w:default="1">
    <w:name w:val="LO-normal"/>
    <w:qFormat w:val="1"/>
    <w:pPr>
      <w:keepNext w:val="0"/>
      <w:keepLines w:val="0"/>
      <w:widowControl w:val="1"/>
      <w:pBdr/>
      <w:shd w:fill="auto" w:val="clear"/>
      <w:bidi w:val="0"/>
      <w:spacing w:after="0" w:before="0" w:line="276" w:lineRule="auto"/>
      <w:ind w:left="0" w:right="0" w:hanging="0"/>
      <w:jc w:val="left"/>
    </w:pPr>
    <w:rPr>
      <w:rFonts w:ascii="Arial" w:cs="Arial" w:eastAsia="Arial" w:hAnsi="Arial"/>
      <w:b w:val="0"/>
      <w:i w:val="0"/>
      <w:caps w:val="0"/>
      <w:smallCaps w:val="0"/>
      <w:strike w:val="0"/>
      <w:dstrike w:val="0"/>
      <w:color w:val="000000"/>
      <w:kern w:val="0"/>
      <w:position w:val="0"/>
      <w:sz w:val="22"/>
      <w:szCs w:val="22"/>
      <w:u w:val="none"/>
      <w:vertAlign w:val="baseline"/>
      <w:lang w:bidi="hi-IN" w:eastAsia="zh-CN" w:val="en"/>
    </w:rPr>
  </w:style>
  <w:style w:type="paragraph" w:styleId="Titreprincipal">
    <w:name w:val="Title"/>
    <w:basedOn w:val="Normal1"/>
    <w:next w:val="Normal1"/>
    <w:qFormat w:val="1"/>
    <w:pPr>
      <w:keepNext w:val="1"/>
      <w:keepLines w:val="1"/>
      <w:spacing w:after="60" w:before="0" w:line="240" w:lineRule="auto"/>
    </w:pPr>
    <w:rPr>
      <w:sz w:val="52"/>
      <w:szCs w:val="52"/>
    </w:rPr>
  </w:style>
  <w:style w:type="paragraph" w:styleId="Soustitre">
    <w:name w:val="Subtitle"/>
    <w:basedOn w:val="Normal1"/>
    <w:next w:val="Normal1"/>
    <w:qFormat w:val="1"/>
    <w:pPr>
      <w:keepNext w:val="1"/>
      <w:keepLines w:val="1"/>
      <w:spacing w:after="320" w:before="0" w:line="240" w:lineRule="auto"/>
    </w:pPr>
    <w:rPr>
      <w:rFonts w:ascii="Arial" w:cs="Arial" w:eastAsia="Arial" w:hAnsi="Arial"/>
      <w:i w:val="0"/>
      <w:color w:val="666666"/>
      <w:sz w:val="30"/>
      <w:szCs w:val="30"/>
    </w:rPr>
  </w:style>
  <w:style w:type="paragraph" w:styleId="Entte">
    <w:name w:val="Header"/>
    <w:basedOn w:val="Normal"/>
    <w:pPr/>
    <w:rPr/>
  </w:style>
  <w:style w:type="paragraph" w:styleId="Pieddepage">
    <w:name w:val="Footer"/>
    <w:basedOn w:val="Normal"/>
    <w:pPr/>
    <w:rPr/>
  </w:style>
  <w:style w:type="table" w:styleId="TableNormal" w:default="1">
    <w:name w:val="Table Normal"/>
  </w:style>
  <w:style w:type="paragraph" w:styleId="Subtitle">
    <w:name w:val="Subtitle"/>
    <w:basedOn w:val="Normal"/>
    <w:next w:val="Normal"/>
    <w:pPr>
      <w:keepNext w:val="1"/>
      <w:keepLines w:val="1"/>
      <w:spacing w:after="320" w:before="0" w:line="24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S5g2HRXqP2hAJv7Rvbe/IwrTxg==">AMUW2mUcFg70zLItXhbRmM0ZAOTBuqVsq8XrPmg8XhTfrIVtS5Lr6EZ4/2T+/IAF7DRRTHPfH/RcqvHZL/2c69zdtoQIxTXBo/8+5v1a7VkYcQaKE2Fd7aA2IUqShBt30vKg441GoIab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